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3DC64" w14:textId="34AE3291" w:rsidR="007F78E9" w:rsidRPr="00A848B6" w:rsidRDefault="00A848B6" w:rsidP="007F78E9">
      <w:pPr>
        <w:rPr>
          <w:b/>
          <w:bCs/>
        </w:rPr>
      </w:pPr>
      <w:r>
        <w:rPr>
          <w:b/>
          <w:bCs/>
          <w:noProof/>
        </w:rPr>
        <w:drawing>
          <wp:anchor distT="0" distB="0" distL="114300" distR="114300" simplePos="0" relativeHeight="251658240" behindDoc="0" locked="0" layoutInCell="1" allowOverlap="1" wp14:anchorId="7C747631" wp14:editId="6424FD69">
            <wp:simplePos x="914400" y="914400"/>
            <wp:positionH relativeFrom="column">
              <wp:align>left</wp:align>
            </wp:positionH>
            <wp:positionV relativeFrom="paragraph">
              <wp:align>top</wp:align>
            </wp:positionV>
            <wp:extent cx="2176764" cy="727075"/>
            <wp:effectExtent l="0" t="0" r="0" b="0"/>
            <wp:wrapSquare wrapText="bothSides"/>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6764" cy="727075"/>
                    </a:xfrm>
                    <a:prstGeom prst="rect">
                      <a:avLst/>
                    </a:prstGeom>
                  </pic:spPr>
                </pic:pic>
              </a:graphicData>
            </a:graphic>
          </wp:anchor>
        </w:drawing>
      </w:r>
      <w:r w:rsidR="007F78E9">
        <w:rPr>
          <w:b/>
          <w:bCs/>
        </w:rPr>
        <w:tab/>
      </w:r>
      <w:r w:rsidR="007F78E9">
        <w:rPr>
          <w:b/>
          <w:bCs/>
        </w:rPr>
        <w:tab/>
      </w:r>
      <w:r w:rsidR="007F78E9">
        <w:rPr>
          <w:b/>
          <w:bCs/>
        </w:rPr>
        <w:tab/>
      </w:r>
      <w:r w:rsidR="007F78E9">
        <w:rPr>
          <w:b/>
          <w:bCs/>
        </w:rPr>
        <w:tab/>
      </w:r>
      <w:r w:rsidR="00616CBB">
        <w:rPr>
          <w:b/>
          <w:bCs/>
        </w:rPr>
        <w:t>20</w:t>
      </w:r>
      <w:r w:rsidR="00FA7192">
        <w:rPr>
          <w:b/>
          <w:bCs/>
        </w:rPr>
        <w:t>.5.2022</w:t>
      </w:r>
    </w:p>
    <w:p w14:paraId="4FB52F04" w14:textId="26AAD43A" w:rsidR="00A848B6" w:rsidRDefault="007F78E9" w:rsidP="00BA2145">
      <w:pPr>
        <w:rPr>
          <w:b/>
          <w:bCs/>
        </w:rPr>
      </w:pPr>
      <w:r>
        <w:rPr>
          <w:b/>
          <w:bCs/>
        </w:rPr>
        <w:br w:type="textWrapping" w:clear="all"/>
      </w:r>
    </w:p>
    <w:p w14:paraId="63FD8AA8" w14:textId="74D981DE" w:rsidR="00BA2145" w:rsidRDefault="00BA2145" w:rsidP="00BA2145">
      <w:pPr>
        <w:rPr>
          <w:b/>
          <w:bCs/>
          <w:sz w:val="36"/>
          <w:szCs w:val="36"/>
        </w:rPr>
      </w:pPr>
      <w:r w:rsidRPr="00A848B6">
        <w:rPr>
          <w:b/>
          <w:bCs/>
          <w:sz w:val="36"/>
          <w:szCs w:val="36"/>
        </w:rPr>
        <w:t>Vapaaehtoisen pelastuspalvelun vuosi 2021</w:t>
      </w:r>
    </w:p>
    <w:p w14:paraId="489F6F49" w14:textId="77777777" w:rsidR="007F78E9" w:rsidRDefault="007F78E9" w:rsidP="00960309">
      <w:pPr>
        <w:rPr>
          <w:b/>
          <w:bCs/>
        </w:rPr>
      </w:pPr>
    </w:p>
    <w:p w14:paraId="2A219D93" w14:textId="029C7E21" w:rsidR="00960309" w:rsidRDefault="004332C6" w:rsidP="00960309">
      <w:r>
        <w:t xml:space="preserve">Koronapandemia oli edelleen vaikuttamassa </w:t>
      </w:r>
      <w:r w:rsidR="00BA2145">
        <w:t>Vapaaehtoisen pelastuspalvelun (</w:t>
      </w:r>
      <w:proofErr w:type="spellStart"/>
      <w:r w:rsidR="00BA2145">
        <w:t>Vapepa</w:t>
      </w:r>
      <w:proofErr w:type="spellEnd"/>
      <w:r w:rsidR="00BA2145">
        <w:t xml:space="preserve">) </w:t>
      </w:r>
      <w:r>
        <w:t>toimintaa vuonna 2021</w:t>
      </w:r>
      <w:r w:rsidR="00BA2145">
        <w:t>. Se vaikutti monin eri tavoin verkoston sisäiseen toimintaan, operatiivisen toimintaan, sekä koulutuksiin ja harjoituksiin.</w:t>
      </w:r>
      <w:r w:rsidR="00960309">
        <w:t xml:space="preserve"> </w:t>
      </w:r>
      <w:r>
        <w:t xml:space="preserve">Yhteydenpitoa on edelleen jatkettu </w:t>
      </w:r>
      <w:r w:rsidR="00E87592">
        <w:t>etäyhteyksin ja webinaarein</w:t>
      </w:r>
      <w:r w:rsidR="00960309">
        <w:t>.</w:t>
      </w:r>
    </w:p>
    <w:p w14:paraId="6FA22880" w14:textId="2E43171B" w:rsidR="00BA2145" w:rsidRPr="00345A31" w:rsidRDefault="00E87592" w:rsidP="00960309">
      <w:pPr>
        <w:rPr>
          <w:color w:val="FF0000"/>
        </w:rPr>
      </w:pPr>
      <w:proofErr w:type="spellStart"/>
      <w:r>
        <w:t>Oil</w:t>
      </w:r>
      <w:proofErr w:type="spellEnd"/>
      <w:r w:rsidR="00960309">
        <w:t xml:space="preserve"> </w:t>
      </w:r>
      <w:proofErr w:type="spellStart"/>
      <w:r>
        <w:t>Spill</w:t>
      </w:r>
      <w:proofErr w:type="spellEnd"/>
      <w:r w:rsidR="00960309">
        <w:t xml:space="preserve"> </w:t>
      </w:r>
      <w:r>
        <w:t>-hanke tuli päätökseen vuoden lopulla</w:t>
      </w:r>
      <w:r w:rsidR="00345A31">
        <w:t>. Han</w:t>
      </w:r>
      <w:r w:rsidR="009C48DE">
        <w:t>k</w:t>
      </w:r>
      <w:r w:rsidR="00345A31">
        <w:t xml:space="preserve">keen avulla koulutettiin satoja vapaaehtoisia ja järjestöjen työntekijöitä öljyvahinkojen torjunnasta. Hankeen loppuraportti on luettavissa </w:t>
      </w:r>
      <w:proofErr w:type="spellStart"/>
      <w:r w:rsidR="00960309">
        <w:t>V</w:t>
      </w:r>
      <w:r w:rsidR="00345A31">
        <w:t>apepan</w:t>
      </w:r>
      <w:proofErr w:type="spellEnd"/>
      <w:r w:rsidR="00345A31">
        <w:t xml:space="preserve"> verkkosivuilta.</w:t>
      </w:r>
      <w:r w:rsidR="00BA2145" w:rsidRPr="00345A31">
        <w:rPr>
          <w:color w:val="FF0000"/>
        </w:rPr>
        <w:t xml:space="preserve"> </w:t>
      </w:r>
    </w:p>
    <w:p w14:paraId="68F7EC57" w14:textId="0FFDE2F9" w:rsidR="00BA2145" w:rsidRDefault="00BA2145" w:rsidP="00BA2145">
      <w:r>
        <w:t>Operatiivinen toiminta ja</w:t>
      </w:r>
      <w:r w:rsidR="00345A31">
        <w:t>tkui</w:t>
      </w:r>
      <w:r>
        <w:t xml:space="preserve"> lähes normaalina suojautumisohjeet huomioiden. </w:t>
      </w:r>
      <w:proofErr w:type="spellStart"/>
      <w:r>
        <w:t>Vapepa</w:t>
      </w:r>
      <w:proofErr w:type="spellEnd"/>
      <w:r>
        <w:t xml:space="preserve"> keskittyi äkilliseen auttamistoimintaan ja muuta korona-auttamiseen liittyvää yhteistyötä tehtiin </w:t>
      </w:r>
      <w:r w:rsidR="009C48DE">
        <w:t xml:space="preserve">edelleen </w:t>
      </w:r>
      <w:r>
        <w:t>muun Suomen Punaisen Ristin (SPR) koordinoiman järjestöyhteistyön kautta.</w:t>
      </w:r>
    </w:p>
    <w:p w14:paraId="19F91A57" w14:textId="48B41BA5" w:rsidR="002E0B82" w:rsidRPr="002E0B82" w:rsidRDefault="002E0B82" w:rsidP="00BA2145">
      <w:pPr>
        <w:rPr>
          <w:b/>
          <w:bCs/>
        </w:rPr>
      </w:pPr>
      <w:proofErr w:type="spellStart"/>
      <w:r>
        <w:rPr>
          <w:b/>
          <w:bCs/>
        </w:rPr>
        <w:t>Häytystoiminta</w:t>
      </w:r>
      <w:proofErr w:type="spellEnd"/>
    </w:p>
    <w:p w14:paraId="0ED8C2D9" w14:textId="2C478664" w:rsidR="00960309" w:rsidRDefault="00BA2145" w:rsidP="00BA2145">
      <w:r>
        <w:t xml:space="preserve">Hälytystoiminnan osalta SPR:n koordinoiman yleisen pelastuspalvelun osalta vuosi oli </w:t>
      </w:r>
      <w:r w:rsidR="00960309">
        <w:t>edellistä vuotta rauhallisempi</w:t>
      </w:r>
      <w:r>
        <w:t xml:space="preserve">. </w:t>
      </w:r>
      <w:r w:rsidR="00960309">
        <w:t>Suurta val</w:t>
      </w:r>
      <w:r w:rsidR="00345A31">
        <w:t>takunnallista huomiota sa</w:t>
      </w:r>
      <w:r w:rsidR="00960309">
        <w:t xml:space="preserve">i </w:t>
      </w:r>
      <w:proofErr w:type="spellStart"/>
      <w:r w:rsidR="00960309">
        <w:t>Vapepan</w:t>
      </w:r>
      <w:proofErr w:type="spellEnd"/>
      <w:r w:rsidR="00960309">
        <w:t xml:space="preserve"> </w:t>
      </w:r>
      <w:r w:rsidR="00345A31">
        <w:t>avustustehtävä</w:t>
      </w:r>
      <w:r w:rsidR="00960309">
        <w:t>t</w:t>
      </w:r>
      <w:r w:rsidR="00345A31">
        <w:t xml:space="preserve"> Kalajoen maastopalo</w:t>
      </w:r>
      <w:r w:rsidR="009C48DE">
        <w:t>n yhteydessä</w:t>
      </w:r>
      <w:r>
        <w:t>.</w:t>
      </w:r>
      <w:r w:rsidR="00345A31">
        <w:t xml:space="preserve"> </w:t>
      </w:r>
      <w:proofErr w:type="spellStart"/>
      <w:r w:rsidR="00345A31">
        <w:t>Vapepan</w:t>
      </w:r>
      <w:proofErr w:type="spellEnd"/>
      <w:r w:rsidR="00345A31">
        <w:t xml:space="preserve"> vapaaehtoiset </w:t>
      </w:r>
      <w:proofErr w:type="spellStart"/>
      <w:r w:rsidR="00345A31">
        <w:t>hoi</w:t>
      </w:r>
      <w:r w:rsidR="005878E8">
        <w:t>s</w:t>
      </w:r>
      <w:r w:rsidR="00345A31">
        <w:t>ivat</w:t>
      </w:r>
      <w:proofErr w:type="spellEnd"/>
      <w:r w:rsidR="00345A31">
        <w:t xml:space="preserve"> </w:t>
      </w:r>
      <w:r w:rsidR="005878E8">
        <w:t xml:space="preserve">muun muassa </w:t>
      </w:r>
      <w:r w:rsidR="00345A31">
        <w:t>pelastusviranomaisten muonitusta ja varustehuoltoa.</w:t>
      </w:r>
      <w:r>
        <w:t xml:space="preserve"> </w:t>
      </w:r>
    </w:p>
    <w:p w14:paraId="39850492" w14:textId="0C255273" w:rsidR="00AB77EF" w:rsidRDefault="009C48DE" w:rsidP="00BA2145">
      <w:r>
        <w:t>Vuonna 2021 h</w:t>
      </w:r>
      <w:r w:rsidR="00BA2145">
        <w:t>älytyksiä oli</w:t>
      </w:r>
      <w:r>
        <w:t xml:space="preserve"> </w:t>
      </w:r>
      <w:r w:rsidR="00345A31" w:rsidRPr="00960309">
        <w:rPr>
          <w:b/>
          <w:bCs/>
        </w:rPr>
        <w:t>419</w:t>
      </w:r>
      <w:r w:rsidR="00BA2145">
        <w:t xml:space="preserve">, joista </w:t>
      </w:r>
      <w:r w:rsidR="00345A31" w:rsidRPr="00960309">
        <w:rPr>
          <w:b/>
          <w:bCs/>
        </w:rPr>
        <w:t>360</w:t>
      </w:r>
      <w:r w:rsidR="00BA2145">
        <w:t xml:space="preserve"> johti toimintaan.</w:t>
      </w:r>
      <w:r>
        <w:t xml:space="preserve"> Näistä t</w:t>
      </w:r>
      <w:r w:rsidR="00BA2145">
        <w:t xml:space="preserve">ehtävistä oli </w:t>
      </w:r>
      <w:r>
        <w:t xml:space="preserve">etsintöjä </w:t>
      </w:r>
      <w:r w:rsidR="00BA2145" w:rsidRPr="00960309">
        <w:rPr>
          <w:b/>
          <w:bCs/>
        </w:rPr>
        <w:t>2</w:t>
      </w:r>
      <w:r w:rsidR="00AB77EF" w:rsidRPr="00960309">
        <w:rPr>
          <w:b/>
          <w:bCs/>
        </w:rPr>
        <w:t>17</w:t>
      </w:r>
      <w:r w:rsidR="00BA2145" w:rsidRPr="00960309">
        <w:rPr>
          <w:b/>
          <w:bCs/>
        </w:rPr>
        <w:t>.</w:t>
      </w:r>
      <w:r w:rsidR="00BA2145">
        <w:t xml:space="preserve"> Kaikkiaan avun kohteena oli </w:t>
      </w:r>
      <w:r w:rsidR="00AB77EF" w:rsidRPr="00960309">
        <w:rPr>
          <w:b/>
          <w:bCs/>
        </w:rPr>
        <w:t>2170</w:t>
      </w:r>
      <w:r w:rsidR="00AB77EF">
        <w:t xml:space="preserve"> henkilöä.</w:t>
      </w:r>
      <w:r w:rsidR="00BA2145">
        <w:t xml:space="preserve"> </w:t>
      </w:r>
    </w:p>
    <w:p w14:paraId="5B28D788" w14:textId="77777777" w:rsidR="005878E8" w:rsidRDefault="005878E8" w:rsidP="00BA2145">
      <w:r>
        <w:rPr>
          <w:noProof/>
        </w:rPr>
        <w:drawing>
          <wp:inline distT="0" distB="0" distL="0" distR="0" wp14:anchorId="5423B507" wp14:editId="105231A8">
            <wp:extent cx="4648200" cy="247015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E295400" w14:textId="4DD40DF9" w:rsidR="00BA2145" w:rsidRDefault="00BA2145" w:rsidP="00BA2145">
      <w:r>
        <w:t xml:space="preserve">Suomen Meripelastusseuran (SMPS) vastuulla olevan meripelastuksen osalta vuosi oli vilkas: </w:t>
      </w:r>
      <w:r w:rsidRPr="00960309">
        <w:rPr>
          <w:b/>
          <w:bCs/>
        </w:rPr>
        <w:t>21</w:t>
      </w:r>
      <w:r w:rsidR="009C48DE" w:rsidRPr="00960309">
        <w:rPr>
          <w:b/>
          <w:bCs/>
        </w:rPr>
        <w:t>26</w:t>
      </w:r>
      <w:r w:rsidRPr="00960309">
        <w:rPr>
          <w:b/>
          <w:bCs/>
        </w:rPr>
        <w:t xml:space="preserve"> </w:t>
      </w:r>
      <w:r>
        <w:t xml:space="preserve">tehtävää, joista </w:t>
      </w:r>
      <w:r w:rsidRPr="00960309">
        <w:rPr>
          <w:b/>
          <w:bCs/>
        </w:rPr>
        <w:t>6</w:t>
      </w:r>
      <w:r w:rsidR="009C48DE" w:rsidRPr="00960309">
        <w:rPr>
          <w:b/>
          <w:bCs/>
        </w:rPr>
        <w:t>2</w:t>
      </w:r>
      <w:r w:rsidRPr="00960309">
        <w:rPr>
          <w:b/>
          <w:bCs/>
        </w:rPr>
        <w:t>5</w:t>
      </w:r>
      <w:r>
        <w:t xml:space="preserve"> kiireellistä. Avun kohteena oli </w:t>
      </w:r>
      <w:r w:rsidRPr="00960309">
        <w:rPr>
          <w:b/>
          <w:bCs/>
        </w:rPr>
        <w:t>4285</w:t>
      </w:r>
      <w:r>
        <w:t xml:space="preserve"> henkilöä.</w:t>
      </w:r>
    </w:p>
    <w:p w14:paraId="797B599D" w14:textId="409571FE" w:rsidR="00BA2145" w:rsidRDefault="00BA2145" w:rsidP="009C48DE">
      <w:r>
        <w:t>Suomen Lentopelastusseuran koordinoiman lentotoiminnan osalta hälytysmäärä oli normaali</w:t>
      </w:r>
      <w:r w:rsidR="00960309">
        <w:t>.</w:t>
      </w:r>
      <w:r>
        <w:t xml:space="preserve"> </w:t>
      </w:r>
      <w:r w:rsidRPr="00960309">
        <w:rPr>
          <w:b/>
          <w:bCs/>
        </w:rPr>
        <w:t>4</w:t>
      </w:r>
      <w:r w:rsidR="009C48DE" w:rsidRPr="00960309">
        <w:rPr>
          <w:b/>
          <w:bCs/>
        </w:rPr>
        <w:t>0</w:t>
      </w:r>
      <w:r w:rsidRPr="00960309">
        <w:rPr>
          <w:b/>
          <w:bCs/>
        </w:rPr>
        <w:t xml:space="preserve"> </w:t>
      </w:r>
      <w:r>
        <w:t>etsintä ja valvontalentoa.</w:t>
      </w:r>
      <w:r w:rsidR="009C48DE" w:rsidRPr="009C48DE">
        <w:t xml:space="preserve"> </w:t>
      </w:r>
      <w:r w:rsidR="009C48DE">
        <w:t xml:space="preserve">Hälytykset poikivat </w:t>
      </w:r>
      <w:r w:rsidR="009C48DE" w:rsidRPr="00960309">
        <w:rPr>
          <w:b/>
          <w:bCs/>
        </w:rPr>
        <w:t xml:space="preserve">67 </w:t>
      </w:r>
      <w:r w:rsidR="009C48DE">
        <w:t xml:space="preserve">tehtävää, joista tehtävälentoja oli </w:t>
      </w:r>
      <w:r w:rsidR="009C48DE" w:rsidRPr="00960309">
        <w:rPr>
          <w:b/>
          <w:bCs/>
        </w:rPr>
        <w:t>35</w:t>
      </w:r>
      <w:r w:rsidR="009C48DE">
        <w:t xml:space="preserve">. Tehtävälennoista etsintöjä oli </w:t>
      </w:r>
      <w:r w:rsidR="009C48DE" w:rsidRPr="00960309">
        <w:rPr>
          <w:b/>
          <w:bCs/>
        </w:rPr>
        <w:t>22</w:t>
      </w:r>
      <w:r w:rsidR="009C48DE">
        <w:t xml:space="preserve"> ja sammutusjohtolentoja </w:t>
      </w:r>
      <w:r w:rsidR="009C48DE" w:rsidRPr="00960309">
        <w:rPr>
          <w:b/>
          <w:bCs/>
        </w:rPr>
        <w:t>13</w:t>
      </w:r>
      <w:r w:rsidR="009C48DE">
        <w:t>.</w:t>
      </w:r>
      <w:r w:rsidR="009163FD">
        <w:t xml:space="preserve"> </w:t>
      </w:r>
      <w:r w:rsidR="009C48DE">
        <w:t>Tilastoon on laskettu</w:t>
      </w:r>
      <w:r w:rsidR="00960309">
        <w:t xml:space="preserve"> kuitenkin</w:t>
      </w:r>
      <w:r w:rsidR="009C48DE">
        <w:t xml:space="preserve"> vain varsinaiset tehtävälennot</w:t>
      </w:r>
      <w:r w:rsidR="00960309">
        <w:t>. E</w:t>
      </w:r>
      <w:r w:rsidR="009C48DE">
        <w:t>simerkiksi Kalajoen paloon liittyen lennettiin lähes 30 lentoa siirtolennot</w:t>
      </w:r>
      <w:r w:rsidR="00960309">
        <w:t xml:space="preserve"> </w:t>
      </w:r>
      <w:r w:rsidR="009C48DE">
        <w:t>mukaan luettuna.</w:t>
      </w:r>
    </w:p>
    <w:p w14:paraId="4042EA13" w14:textId="58E6ADF2" w:rsidR="002E0B82" w:rsidRPr="002E0B82" w:rsidRDefault="00A74C84" w:rsidP="009C48DE">
      <w:pPr>
        <w:rPr>
          <w:b/>
          <w:bCs/>
        </w:rPr>
      </w:pPr>
      <w:r>
        <w:rPr>
          <w:b/>
          <w:bCs/>
        </w:rPr>
        <w:t>Harjoitukset ja koulutukset</w:t>
      </w:r>
    </w:p>
    <w:p w14:paraId="587CA795" w14:textId="090D40B6" w:rsidR="00BA2145" w:rsidRDefault="00BA2145" w:rsidP="00BA2145">
      <w:r>
        <w:t>Koulutus- ja harjoitustoiminnan osalta Koronapandemia</w:t>
      </w:r>
      <w:r w:rsidR="009163FD">
        <w:t xml:space="preserve">n vaikutukset alkoivat jo hieman hälvenemään, mutta kursseja jouduttiin edelleen siirtämään, perumaan tai niitä toteutettiin verkossa. </w:t>
      </w:r>
      <w:proofErr w:type="spellStart"/>
      <w:r>
        <w:t>Vapepan</w:t>
      </w:r>
      <w:proofErr w:type="spellEnd"/>
      <w:r>
        <w:t xml:space="preserve"> yhteistoimintaharjoituksia </w:t>
      </w:r>
      <w:r>
        <w:lastRenderedPageBreak/>
        <w:t xml:space="preserve">maalla järjestettiin </w:t>
      </w:r>
      <w:r w:rsidR="009163FD" w:rsidRPr="00960309">
        <w:rPr>
          <w:b/>
          <w:bCs/>
        </w:rPr>
        <w:t>65</w:t>
      </w:r>
      <w:r>
        <w:t xml:space="preserve">, joissa oli osallistujia </w:t>
      </w:r>
      <w:r w:rsidR="009163FD" w:rsidRPr="00960309">
        <w:rPr>
          <w:b/>
          <w:bCs/>
        </w:rPr>
        <w:t>2259</w:t>
      </w:r>
      <w:r>
        <w:t>.</w:t>
      </w:r>
      <w:r w:rsidR="002B511A">
        <w:t xml:space="preserve"> Vaikka kasvua viime vuoteen on paljon, harjoitusmäärissä </w:t>
      </w:r>
      <w:r w:rsidR="00960309">
        <w:t xml:space="preserve">on </w:t>
      </w:r>
      <w:r w:rsidR="002B511A">
        <w:t>silti matkaa esimerkiksi vuoden 2019 lukuihin.</w:t>
      </w:r>
    </w:p>
    <w:p w14:paraId="06853631" w14:textId="3C47AABC" w:rsidR="00BA2145" w:rsidRDefault="00BA2145" w:rsidP="00BA2145">
      <w:r>
        <w:t xml:space="preserve">Yleisen pelastuspalvelun koulutusten määrä </w:t>
      </w:r>
      <w:r w:rsidR="002B511A">
        <w:t xml:space="preserve">oli </w:t>
      </w:r>
      <w:r w:rsidR="00960309">
        <w:t xml:space="preserve">viime vuonna </w:t>
      </w:r>
      <w:r w:rsidR="002B511A">
        <w:t xml:space="preserve">suuri </w:t>
      </w:r>
      <w:r w:rsidR="002B511A" w:rsidRPr="00960309">
        <w:rPr>
          <w:b/>
          <w:bCs/>
        </w:rPr>
        <w:t>3</w:t>
      </w:r>
      <w:r w:rsidR="007C0621" w:rsidRPr="00960309">
        <w:rPr>
          <w:b/>
          <w:bCs/>
        </w:rPr>
        <w:t>20</w:t>
      </w:r>
      <w:r w:rsidR="002B511A">
        <w:t>.</w:t>
      </w:r>
      <w:r w:rsidR="007C0621">
        <w:t xml:space="preserve"> Myös osallistujamäärissä on suurta kasvua </w:t>
      </w:r>
      <w:r w:rsidR="005D4795">
        <w:t>aiempiin vuosiin</w:t>
      </w:r>
      <w:r w:rsidR="007C0621">
        <w:t xml:space="preserve">. Viime vuonna koulutuksissa oli </w:t>
      </w:r>
      <w:r w:rsidR="005D4795">
        <w:rPr>
          <w:b/>
          <w:bCs/>
        </w:rPr>
        <w:t>8733</w:t>
      </w:r>
      <w:r w:rsidR="007C0621" w:rsidRPr="005D4795">
        <w:rPr>
          <w:b/>
          <w:bCs/>
        </w:rPr>
        <w:t xml:space="preserve"> </w:t>
      </w:r>
      <w:r w:rsidR="007C0621">
        <w:t>osallistujaa, kun vuonna 202</w:t>
      </w:r>
      <w:r w:rsidR="005D4795">
        <w:t>0</w:t>
      </w:r>
      <w:r w:rsidR="007C0621">
        <w:t xml:space="preserve"> osallistujia oli </w:t>
      </w:r>
      <w:r w:rsidR="005D4795">
        <w:t>5250</w:t>
      </w:r>
      <w:r w:rsidR="007C0621">
        <w:t>. Tämä selittyy sillä, että koulutuksia on järjestetty paljon verkossa ja osallistumiskynnys on matala. Käytännön harjoitteluja on kuitenkin jouduttu perumaan.</w:t>
      </w:r>
      <w:r>
        <w:t xml:space="preserve"> </w:t>
      </w:r>
    </w:p>
    <w:p w14:paraId="246DCAAF" w14:textId="77777777" w:rsidR="00435F9F" w:rsidRDefault="00435F9F" w:rsidP="00BA2145"/>
    <w:p w14:paraId="4E5CCE18" w14:textId="1D68CE38" w:rsidR="005878E8" w:rsidRDefault="005878E8" w:rsidP="00BA2145">
      <w:r>
        <w:rPr>
          <w:noProof/>
        </w:rPr>
        <w:drawing>
          <wp:inline distT="0" distB="0" distL="0" distR="0" wp14:anchorId="58BBFFBA" wp14:editId="7864A93C">
            <wp:extent cx="4654550" cy="2698750"/>
            <wp:effectExtent l="0" t="0" r="1270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C88492" w14:textId="3CD2940D" w:rsidR="00960309" w:rsidRPr="00960309" w:rsidRDefault="00960309" w:rsidP="00BA2145">
      <w:pPr>
        <w:rPr>
          <w:b/>
          <w:bCs/>
        </w:rPr>
      </w:pPr>
      <w:r>
        <w:rPr>
          <w:b/>
          <w:bCs/>
        </w:rPr>
        <w:t>Meripelastuksen koulutu</w:t>
      </w:r>
      <w:r w:rsidR="00234DF6">
        <w:rPr>
          <w:b/>
          <w:bCs/>
        </w:rPr>
        <w:t>kset</w:t>
      </w:r>
    </w:p>
    <w:p w14:paraId="16AAEDC1" w14:textId="56E25BA6" w:rsidR="00234DF6" w:rsidRDefault="00234DF6" w:rsidP="00BA2145">
      <w:r>
        <w:t xml:space="preserve">Meripelastusseuran </w:t>
      </w:r>
      <w:r w:rsidRPr="00242512">
        <w:rPr>
          <w:b/>
          <w:bCs/>
        </w:rPr>
        <w:t>48</w:t>
      </w:r>
      <w:r>
        <w:t xml:space="preserve"> suunnitellusta miehistön koulutustapahtumasta</w:t>
      </w:r>
      <w:r w:rsidR="004058B3">
        <w:t xml:space="preserve"> toteutettiin</w:t>
      </w:r>
      <w:r>
        <w:t xml:space="preserve"> suunnitellusti </w:t>
      </w:r>
      <w:r w:rsidRPr="00242512">
        <w:rPr>
          <w:b/>
          <w:bCs/>
        </w:rPr>
        <w:t>29</w:t>
      </w:r>
      <w:r>
        <w:t xml:space="preserve">. Vuoden aikana tehtiin </w:t>
      </w:r>
      <w:r w:rsidRPr="00242512">
        <w:rPr>
          <w:b/>
          <w:bCs/>
        </w:rPr>
        <w:t>350</w:t>
      </w:r>
      <w:r>
        <w:t xml:space="preserve"> koulutustasonimitystä. Uusia miehistönjäseniä otettiin viime vuonna mukaan </w:t>
      </w:r>
      <w:r w:rsidRPr="00242512">
        <w:rPr>
          <w:b/>
          <w:bCs/>
        </w:rPr>
        <w:t>147</w:t>
      </w:r>
      <w:r>
        <w:t>.</w:t>
      </w:r>
    </w:p>
    <w:p w14:paraId="1CB4D2E7" w14:textId="63FD2875" w:rsidR="00234DF6" w:rsidRDefault="00234DF6" w:rsidP="00BA2145">
      <w:r>
        <w:t>Meripelastusseura jatkoi merkittävää panostusta vuonna 2021 ohjaamotyöskentelyn turvallisten edellytysten turvaamiseen. Vuonna 2020 päivitetyn menetelmän jalkautus aloitettiin. Yleisiä ohjaamotyöskentelykursseja järjestettiin kaksi ja asemille suunnattuja kursseja neljä. Lisäksi järjestettiin yksi kouluttajakurssi. Menetelmän käyttöönotossa oli vuoden 2021 lopulla mukana seitsemän asemaa, ja neljän muun kanssa kurssi oli sovittu vuoden 2022 puolelle.</w:t>
      </w:r>
    </w:p>
    <w:p w14:paraId="020604A6" w14:textId="73E0477D" w:rsidR="00234DF6" w:rsidRDefault="00234DF6" w:rsidP="00BA2145">
      <w:r w:rsidRPr="00960309">
        <w:rPr>
          <w:b/>
          <w:bCs/>
        </w:rPr>
        <w:t xml:space="preserve">Lentopelastusseuran </w:t>
      </w:r>
      <w:r>
        <w:rPr>
          <w:b/>
          <w:bCs/>
        </w:rPr>
        <w:t>koulutukset</w:t>
      </w:r>
    </w:p>
    <w:p w14:paraId="26D8588A" w14:textId="05A45737" w:rsidR="00835CD2" w:rsidRDefault="00234DF6" w:rsidP="00835CD2">
      <w:r>
        <w:t>Lentopelastusseuran osalta</w:t>
      </w:r>
      <w:r w:rsidR="00835CD2">
        <w:t xml:space="preserve"> kokoontumisrajoitusten vuoksi useiden kurssien toteuttaminen viivästyi. Uusia tehtäväkohtaisia kelpoisuuksia koulutettiin </w:t>
      </w:r>
      <w:r w:rsidR="00835CD2" w:rsidRPr="00835CD2">
        <w:rPr>
          <w:b/>
          <w:bCs/>
        </w:rPr>
        <w:t>81</w:t>
      </w:r>
      <w:r w:rsidR="00835CD2">
        <w:t xml:space="preserve"> kappaletta ja ylläpidettiin </w:t>
      </w:r>
      <w:r w:rsidR="00835CD2" w:rsidRPr="00835CD2">
        <w:rPr>
          <w:b/>
          <w:bCs/>
        </w:rPr>
        <w:t>63</w:t>
      </w:r>
      <w:r w:rsidR="00835CD2">
        <w:t xml:space="preserve"> kappaletta. Tehtäväkohtaiseen kelpoisuuteen johtavat kurssit suunniteltiin ja toteutettiin yhdessä valmius- ja hälytysryhmien kanssa.</w:t>
      </w:r>
    </w:p>
    <w:p w14:paraId="75E599D0" w14:textId="421CD906" w:rsidR="00835CD2" w:rsidRPr="00960309" w:rsidRDefault="00835CD2" w:rsidP="00835CD2">
      <w:pPr>
        <w:rPr>
          <w:b/>
          <w:bCs/>
        </w:rPr>
      </w:pPr>
      <w:r>
        <w:t>Kouluttajille ja koulutuksen vastuuhenkilöille järjestettiin Kouluttajapäivä webinaarina. Lento-kouluttajien koulutusta ei voitu toteuttaa.</w:t>
      </w:r>
    </w:p>
    <w:p w14:paraId="0C8DF0BB" w14:textId="6096B810" w:rsidR="00BA2145" w:rsidRPr="005572EB" w:rsidRDefault="00BA2145" w:rsidP="00BA2145">
      <w:r w:rsidRPr="005572EB">
        <w:t>Vuoden 202</w:t>
      </w:r>
      <w:r w:rsidR="005572EB" w:rsidRPr="005572EB">
        <w:t>1</w:t>
      </w:r>
      <w:r w:rsidRPr="005572EB">
        <w:t xml:space="preserve"> aikana hälytysryhmiin kiinnitettyjen henkilöiden määrä yleisen pelastuspalvelun hälytysjärjestelmä </w:t>
      </w:r>
      <w:proofErr w:type="spellStart"/>
      <w:r w:rsidRPr="005572EB">
        <w:t>OHTOssa</w:t>
      </w:r>
      <w:proofErr w:type="spellEnd"/>
      <w:r w:rsidRPr="005572EB">
        <w:t xml:space="preserve"> nousi </w:t>
      </w:r>
      <w:r w:rsidR="005572EB" w:rsidRPr="005572EB">
        <w:t xml:space="preserve">jälleen </w:t>
      </w:r>
      <w:r w:rsidRPr="005572EB">
        <w:t>lähes tuhannella</w:t>
      </w:r>
      <w:r w:rsidR="00FA7192">
        <w:t>,</w:t>
      </w:r>
      <w:r w:rsidRPr="005572EB">
        <w:t xml:space="preserve"> ollen vuoden lopussa </w:t>
      </w:r>
      <w:r w:rsidR="005572EB" w:rsidRPr="005572EB">
        <w:rPr>
          <w:rFonts w:ascii="Verdana" w:hAnsi="Verdana"/>
          <w:b/>
          <w:bCs/>
          <w:sz w:val="20"/>
          <w:szCs w:val="20"/>
          <w:lang w:eastAsia="fi-FI"/>
        </w:rPr>
        <w:t>11355</w:t>
      </w:r>
      <w:r w:rsidRPr="005572EB">
        <w:t xml:space="preserve"> henkilöä </w:t>
      </w:r>
      <w:r w:rsidRPr="005C3BB4">
        <w:rPr>
          <w:b/>
          <w:bCs/>
        </w:rPr>
        <w:t>1</w:t>
      </w:r>
      <w:r w:rsidR="005572EB" w:rsidRPr="005C3BB4">
        <w:rPr>
          <w:b/>
          <w:bCs/>
        </w:rPr>
        <w:t>328</w:t>
      </w:r>
      <w:r w:rsidRPr="005572EB">
        <w:t xml:space="preserve"> varsinaisessa hälytysryhmässä. Kaikkiaan 3</w:t>
      </w:r>
      <w:r w:rsidR="005572EB" w:rsidRPr="005572EB">
        <w:t>5</w:t>
      </w:r>
      <w:r w:rsidRPr="005572EB">
        <w:t xml:space="preserve"> eri järjestöllä oli hälytysryhmiä. Suurimmat järjestöt ovat:</w:t>
      </w:r>
    </w:p>
    <w:p w14:paraId="3C5DB787" w14:textId="64129FA1" w:rsidR="00BA2145" w:rsidRDefault="00BA2145" w:rsidP="00BA2145">
      <w:r w:rsidRPr="00A5798B">
        <w:t>SPR (3</w:t>
      </w:r>
      <w:r w:rsidR="005572EB" w:rsidRPr="00A5798B">
        <w:t>864</w:t>
      </w:r>
      <w:r w:rsidRPr="00A5798B">
        <w:t xml:space="preserve"> henkilöä/</w:t>
      </w:r>
      <w:r w:rsidR="005572EB" w:rsidRPr="00A5798B">
        <w:t>428</w:t>
      </w:r>
      <w:r w:rsidRPr="00A5798B">
        <w:t xml:space="preserve"> hälytysryhmää), Suomen </w:t>
      </w:r>
      <w:r w:rsidR="005572EB" w:rsidRPr="00A5798B">
        <w:t>Kylät</w:t>
      </w:r>
      <w:r w:rsidRPr="00A5798B">
        <w:t xml:space="preserve"> (</w:t>
      </w:r>
      <w:r w:rsidR="005572EB" w:rsidRPr="00A5798B">
        <w:t>876</w:t>
      </w:r>
      <w:r w:rsidRPr="00A5798B">
        <w:t>/47), Suomen Metsästäjäliitto (58</w:t>
      </w:r>
      <w:r w:rsidR="00A5798B" w:rsidRPr="00A5798B">
        <w:t>8</w:t>
      </w:r>
      <w:r w:rsidRPr="00A5798B">
        <w:t>/11</w:t>
      </w:r>
      <w:r w:rsidR="00A5798B" w:rsidRPr="00A5798B">
        <w:t>4</w:t>
      </w:r>
      <w:r w:rsidRPr="00A5798B">
        <w:t xml:space="preserve">), </w:t>
      </w:r>
      <w:r w:rsidR="00A5798B" w:rsidRPr="00A5798B">
        <w:t>Reserviläisliitto</w:t>
      </w:r>
      <w:r w:rsidRPr="00A5798B">
        <w:t xml:space="preserve"> (5</w:t>
      </w:r>
      <w:r w:rsidR="00A5798B" w:rsidRPr="00A5798B">
        <w:t>6</w:t>
      </w:r>
      <w:r w:rsidRPr="00A5798B">
        <w:t>5/</w:t>
      </w:r>
      <w:r w:rsidR="00A5798B" w:rsidRPr="00A5798B">
        <w:t>58</w:t>
      </w:r>
      <w:r w:rsidRPr="00A5798B">
        <w:t xml:space="preserve">), Suomen </w:t>
      </w:r>
      <w:r w:rsidR="00A5798B" w:rsidRPr="00A5798B">
        <w:t>Latu</w:t>
      </w:r>
      <w:r w:rsidRPr="00A5798B">
        <w:t xml:space="preserve"> (5</w:t>
      </w:r>
      <w:r w:rsidR="00A5798B" w:rsidRPr="00A5798B">
        <w:t>60</w:t>
      </w:r>
      <w:r w:rsidRPr="00A5798B">
        <w:t xml:space="preserve"> /</w:t>
      </w:r>
      <w:r w:rsidR="00A5798B" w:rsidRPr="00A5798B">
        <w:t>2</w:t>
      </w:r>
      <w:r w:rsidRPr="00A5798B">
        <w:t xml:space="preserve">7), </w:t>
      </w:r>
      <w:r w:rsidR="00A5798B" w:rsidRPr="00A5798B">
        <w:t xml:space="preserve">Suomen Suunnistusliitto </w:t>
      </w:r>
      <w:r w:rsidRPr="00A5798B">
        <w:t>(5</w:t>
      </w:r>
      <w:r w:rsidR="00A5798B" w:rsidRPr="00A5798B">
        <w:t>55</w:t>
      </w:r>
      <w:r w:rsidRPr="00A5798B">
        <w:t>/5</w:t>
      </w:r>
      <w:r w:rsidR="00A5798B" w:rsidRPr="00A5798B">
        <w:t>3</w:t>
      </w:r>
      <w:r w:rsidRPr="00A5798B">
        <w:t>),</w:t>
      </w:r>
      <w:r w:rsidR="00A5798B" w:rsidRPr="00A5798B">
        <w:t xml:space="preserve"> </w:t>
      </w:r>
      <w:r w:rsidRPr="00A5798B">
        <w:t xml:space="preserve">Suomen </w:t>
      </w:r>
      <w:r w:rsidR="00A5798B" w:rsidRPr="00A5798B">
        <w:t>Pelastuskoiraliitto</w:t>
      </w:r>
      <w:r w:rsidRPr="00A5798B">
        <w:t xml:space="preserve"> (5</w:t>
      </w:r>
      <w:r w:rsidR="00A5798B" w:rsidRPr="00A5798B">
        <w:t>51</w:t>
      </w:r>
      <w:r w:rsidRPr="00A5798B">
        <w:t>/</w:t>
      </w:r>
      <w:r w:rsidR="00A5798B" w:rsidRPr="00A5798B">
        <w:t>46</w:t>
      </w:r>
      <w:r w:rsidRPr="00A5798B">
        <w:t>), Suomen Palveluskoiraliitto (</w:t>
      </w:r>
      <w:r w:rsidR="00A5798B" w:rsidRPr="00A5798B">
        <w:t>401</w:t>
      </w:r>
      <w:r w:rsidRPr="00A5798B">
        <w:t>/</w:t>
      </w:r>
      <w:r w:rsidR="00A5798B" w:rsidRPr="00A5798B">
        <w:t>41</w:t>
      </w:r>
      <w:r w:rsidRPr="00A5798B">
        <w:t>), SPEK (2</w:t>
      </w:r>
      <w:r w:rsidR="00A5798B" w:rsidRPr="00A5798B">
        <w:t>96</w:t>
      </w:r>
      <w:r w:rsidRPr="00A5798B">
        <w:t>/4</w:t>
      </w:r>
      <w:r w:rsidR="00A5798B" w:rsidRPr="00A5798B">
        <w:t>2</w:t>
      </w:r>
      <w:r w:rsidRPr="00A5798B">
        <w:t>), Autoliitto (17</w:t>
      </w:r>
      <w:r w:rsidR="00A5798B" w:rsidRPr="00A5798B">
        <w:t>8</w:t>
      </w:r>
      <w:r w:rsidRPr="00A5798B">
        <w:t>/34).</w:t>
      </w:r>
    </w:p>
    <w:p w14:paraId="3982BDB4" w14:textId="67B4708A" w:rsidR="005C3BB4" w:rsidRDefault="005C3BB4" w:rsidP="00BA2145"/>
    <w:p w14:paraId="104E4949" w14:textId="265E1F42" w:rsidR="005C3BB4" w:rsidRDefault="005C3BB4" w:rsidP="00BA2145"/>
    <w:p w14:paraId="03E1E120" w14:textId="0B863A4E" w:rsidR="005C3BB4" w:rsidRDefault="005C3BB4" w:rsidP="00BA2145"/>
    <w:p w14:paraId="295CC7E7" w14:textId="6F9724F6" w:rsidR="005C3BB4" w:rsidRPr="005C3BB4" w:rsidRDefault="005C3BB4" w:rsidP="005C3BB4">
      <w:r w:rsidRPr="005C3BB4">
        <w:lastRenderedPageBreak/>
        <w:t xml:space="preserve">Hälytysryhmien tilastot ovat OHTO-järjestelmästä. </w:t>
      </w:r>
      <w:proofErr w:type="spellStart"/>
      <w:r w:rsidRPr="005C3BB4">
        <w:t>OHTOon</w:t>
      </w:r>
      <w:proofErr w:type="spellEnd"/>
      <w:r w:rsidRPr="005C3BB4">
        <w:t xml:space="preserve"> kirjautuneiden hälytysryhmien lisäksi järjestöt tukevat toimintaa myös </w:t>
      </w:r>
      <w:r>
        <w:t>monilla muilla tavoilla.</w:t>
      </w:r>
      <w:r w:rsidRPr="005C3BB4">
        <w:t xml:space="preserve"> </w:t>
      </w:r>
    </w:p>
    <w:p w14:paraId="6107333D" w14:textId="6C45A511" w:rsidR="005C3BB4" w:rsidRDefault="005C3BB4" w:rsidP="00BA2145"/>
    <w:tbl>
      <w:tblPr>
        <w:tblW w:w="7330" w:type="dxa"/>
        <w:tblCellMar>
          <w:left w:w="0" w:type="dxa"/>
          <w:right w:w="0" w:type="dxa"/>
        </w:tblCellMar>
        <w:tblLook w:val="04A0" w:firstRow="1" w:lastRow="0" w:firstColumn="1" w:lastColumn="0" w:noHBand="0" w:noVBand="1"/>
      </w:tblPr>
      <w:tblGrid>
        <w:gridCol w:w="4730"/>
        <w:gridCol w:w="1300"/>
        <w:gridCol w:w="1300"/>
      </w:tblGrid>
      <w:tr w:rsidR="005C3BB4" w14:paraId="75016AE1"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53153632"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Punainen Risti</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6FCD00DD"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3864</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26A72349"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428</w:t>
            </w:r>
          </w:p>
        </w:tc>
      </w:tr>
      <w:tr w:rsidR="005C3BB4" w14:paraId="532B5FE4"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526E1EE4" w14:textId="238A5430" w:rsidR="005C3BB4" w:rsidRDefault="005C3BB4">
            <w:pPr>
              <w:rPr>
                <w:rFonts w:ascii="Verdana" w:hAnsi="Verdana"/>
                <w:color w:val="000000"/>
                <w:sz w:val="20"/>
                <w:szCs w:val="20"/>
                <w:lang w:eastAsia="fi-FI"/>
              </w:rPr>
            </w:pPr>
            <w:r>
              <w:rPr>
                <w:rFonts w:ascii="Verdana" w:hAnsi="Verdana"/>
                <w:color w:val="000000"/>
                <w:sz w:val="20"/>
                <w:szCs w:val="20"/>
                <w:lang w:eastAsia="fi-FI"/>
              </w:rPr>
              <w:t>Jäsenjärjestöihin kiinni</w:t>
            </w:r>
            <w:r w:rsidR="00C4002C">
              <w:rPr>
                <w:rFonts w:ascii="Verdana" w:hAnsi="Verdana"/>
                <w:color w:val="000000"/>
                <w:sz w:val="20"/>
                <w:szCs w:val="20"/>
                <w:lang w:eastAsia="fi-FI"/>
              </w:rPr>
              <w:t>tt</w:t>
            </w:r>
            <w:r>
              <w:rPr>
                <w:rFonts w:ascii="Verdana" w:hAnsi="Verdana"/>
                <w:color w:val="000000"/>
                <w:sz w:val="20"/>
                <w:szCs w:val="20"/>
                <w:lang w:eastAsia="fi-FI"/>
              </w:rPr>
              <w:t>ymättömissä ryhmissä</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65A3F30F"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1481</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5DB0654F"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190</w:t>
            </w:r>
          </w:p>
        </w:tc>
      </w:tr>
      <w:tr w:rsidR="005C3BB4" w14:paraId="4F6AF43E"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420A7FA6"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Kylät</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27CFEAA2"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876</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6E690ED5"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59</w:t>
            </w:r>
          </w:p>
        </w:tc>
      </w:tr>
      <w:tr w:rsidR="005C3BB4" w14:paraId="60EA1CDD"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5528D9E5"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Metsästäjäliitto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1B3C0B33"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588</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6986514E"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114</w:t>
            </w:r>
          </w:p>
        </w:tc>
      </w:tr>
      <w:tr w:rsidR="005C3BB4" w14:paraId="1BF1600B"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106229F9"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Reserviläisliitto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20F0E736"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565</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54E2CD78"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58</w:t>
            </w:r>
          </w:p>
        </w:tc>
      </w:tr>
      <w:tr w:rsidR="005C3BB4" w14:paraId="09E9B409"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15FE4B9B"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Latu</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57A74955"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560</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47B51B6B"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27</w:t>
            </w:r>
          </w:p>
        </w:tc>
      </w:tr>
      <w:tr w:rsidR="005C3BB4" w14:paraId="2DD8B2B9"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65AC80C7"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Suunnistusliitto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25D54562"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555</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01D39A72"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53</w:t>
            </w:r>
          </w:p>
        </w:tc>
      </w:tr>
      <w:tr w:rsidR="005C3BB4" w14:paraId="5BEEC7EC"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6D4D3C99"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Pelastuskoiraliitto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471A9ECF"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551</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634B5452"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46</w:t>
            </w:r>
          </w:p>
        </w:tc>
      </w:tr>
      <w:tr w:rsidR="005C3BB4" w14:paraId="3907882D"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7278856B"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Palveluskoiraliitto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14A34E2A"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401</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57FA5123"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41</w:t>
            </w:r>
          </w:p>
        </w:tc>
      </w:tr>
      <w:tr w:rsidR="005C3BB4" w14:paraId="66F1EB8A"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710005BB"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Pelastusalan Keskusjärjestö</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28E8B98A"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296</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0322BE79"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42</w:t>
            </w:r>
          </w:p>
        </w:tc>
      </w:tr>
      <w:tr w:rsidR="005C3BB4" w14:paraId="57F7FA16"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69E60731"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Partiolaiset</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38AECF86"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180</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255C10A9"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19</w:t>
            </w:r>
          </w:p>
        </w:tc>
      </w:tr>
      <w:tr w:rsidR="005C3BB4" w14:paraId="07C9DB31"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5F41FDE6"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Autoliitto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01B64D94"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178</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49CAE541"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34</w:t>
            </w:r>
          </w:p>
        </w:tc>
      </w:tr>
      <w:tr w:rsidR="005C3BB4" w14:paraId="41CE21F9"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65EA927B"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Paliskuntain yhdistys</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730274E9"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177</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404C14FE"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16</w:t>
            </w:r>
          </w:p>
        </w:tc>
      </w:tr>
      <w:tr w:rsidR="005C3BB4" w14:paraId="268D5599"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1BFA3529"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Sukeltajaliitto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68D6285B"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171</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7AD70951"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26</w:t>
            </w:r>
          </w:p>
        </w:tc>
      </w:tr>
      <w:tr w:rsidR="005C3BB4" w14:paraId="6B36219D"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17199B16"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Meripelastusseura</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4C5F5FED"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121</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01EFE523"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24</w:t>
            </w:r>
          </w:p>
        </w:tc>
      </w:tr>
      <w:tr w:rsidR="005C3BB4" w14:paraId="398F1263"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16B48332"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Reserviupseeriliitto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2619C2A6"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106</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454D1799"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18</w:t>
            </w:r>
          </w:p>
        </w:tc>
      </w:tr>
      <w:tr w:rsidR="005C3BB4" w14:paraId="4E14D3E7"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40C13695"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Moottoriliitto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4F57CB11"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91</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76163C51"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11</w:t>
            </w:r>
          </w:p>
        </w:tc>
      </w:tr>
      <w:tr w:rsidR="005C3BB4" w14:paraId="174AC1D1"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10123517"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Radioamatööriliitto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258B639C"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90</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6F79309C"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21</w:t>
            </w:r>
          </w:p>
        </w:tc>
      </w:tr>
      <w:tr w:rsidR="005C3BB4" w14:paraId="1CC27CE3"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29FA2D31"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Lentopelastusseura</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7DA48877"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80</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2C142B01"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17</w:t>
            </w:r>
          </w:p>
        </w:tc>
      </w:tr>
      <w:tr w:rsidR="005C3BB4" w14:paraId="6E07C505"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6C3DDACB"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Riistakeskus</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1BFF7EC8"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74</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33AF7AD3"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21</w:t>
            </w:r>
          </w:p>
        </w:tc>
      </w:tr>
      <w:tr w:rsidR="005C3BB4" w14:paraId="00525186"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3B1E3EE3"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Marttaliitto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125F5DDD"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62</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6FA0A121"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19</w:t>
            </w:r>
          </w:p>
        </w:tc>
      </w:tr>
      <w:tr w:rsidR="005C3BB4" w14:paraId="69A4DDF3"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710E2FC2"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MIELI Suomen Mielenterveys</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484B1A84"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54</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0445178B"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5</w:t>
            </w:r>
          </w:p>
        </w:tc>
      </w:tr>
      <w:tr w:rsidR="005C3BB4" w14:paraId="2ED12D01"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74E3A4CA"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Maanpuolustusnaisten 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5C35E0B4"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46</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19FA3508"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8</w:t>
            </w:r>
          </w:p>
        </w:tc>
      </w:tr>
      <w:tr w:rsidR="005C3BB4" w14:paraId="3E4CFC61"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29B84293"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Työväen Urheiluliitto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1CDED89F"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31</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2C290FB9"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w:t>
            </w:r>
          </w:p>
        </w:tc>
      </w:tr>
      <w:tr w:rsidR="005C3BB4" w14:paraId="0B188BE6"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2A7AFCB7"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Maanpuolustuskoulutusyhdistys (MPK)</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4B3DCC66"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29</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1CD74FAE"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4</w:t>
            </w:r>
          </w:p>
        </w:tc>
      </w:tr>
      <w:tr w:rsidR="005C3BB4" w14:paraId="60F1E60D"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47BBA72F"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Maa- ja kotitalousnaisten Keskus</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05098B7F"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26</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5A393D4F"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6</w:t>
            </w:r>
          </w:p>
        </w:tc>
      </w:tr>
      <w:tr w:rsidR="005C3BB4" w14:paraId="4D79ED0F"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3B135F35"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Maanpuolustuskiltojen 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71384FF7"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26</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18609D29"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4</w:t>
            </w:r>
          </w:p>
        </w:tc>
      </w:tr>
      <w:tr w:rsidR="005C3BB4" w14:paraId="37E5C3D2"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59883702"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Tiepalvelumiesliitto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59B32A68"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21</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496EBA16"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w:t>
            </w:r>
          </w:p>
        </w:tc>
      </w:tr>
      <w:tr w:rsidR="005C3BB4" w14:paraId="317CB1A2"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0496235D"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WWF Suomi</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0ED7529F"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15</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75895B33"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4</w:t>
            </w:r>
          </w:p>
        </w:tc>
      </w:tr>
      <w:tr w:rsidR="005C3BB4" w14:paraId="5A08094F"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17B7624E"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SF-</w:t>
            </w:r>
            <w:proofErr w:type="spellStart"/>
            <w:r>
              <w:rPr>
                <w:rFonts w:ascii="Verdana" w:hAnsi="Verdana"/>
                <w:color w:val="000000"/>
                <w:sz w:val="20"/>
                <w:szCs w:val="20"/>
                <w:lang w:eastAsia="fi-FI"/>
              </w:rPr>
              <w:t>Caravan</w:t>
            </w:r>
            <w:proofErr w:type="spellEnd"/>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714304A1"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14</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33157A78"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w:t>
            </w:r>
          </w:p>
        </w:tc>
      </w:tr>
      <w:tr w:rsidR="005C3BB4" w14:paraId="0DA80286"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015A12FD"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Tiepalvelumiehet</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77972DFA"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12</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7DCBC741"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3</w:t>
            </w:r>
          </w:p>
        </w:tc>
      </w:tr>
      <w:tr w:rsidR="005C3BB4" w14:paraId="53354909"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0175968A"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lastRenderedPageBreak/>
              <w:t>Työväen retkeilyliitto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171CE707"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7</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4AD7C88B"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w:t>
            </w:r>
          </w:p>
        </w:tc>
      </w:tr>
      <w:tr w:rsidR="005C3BB4" w14:paraId="3030E8D0"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3E3FB9D5"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Mannerheimin Lastensuojeluliitto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2DC8F8DF"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4</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12004A59"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w:t>
            </w:r>
          </w:p>
        </w:tc>
      </w:tr>
      <w:tr w:rsidR="005C3BB4" w14:paraId="676374EF" w14:textId="77777777" w:rsidTr="005C3BB4">
        <w:trPr>
          <w:trHeight w:val="255"/>
        </w:trPr>
        <w:tc>
          <w:tcPr>
            <w:tcW w:w="4730" w:type="dxa"/>
            <w:tcBorders>
              <w:top w:val="single" w:sz="8" w:space="0" w:color="4472C4"/>
              <w:left w:val="single" w:sz="8" w:space="0" w:color="4472C4"/>
              <w:bottom w:val="nil"/>
              <w:right w:val="nil"/>
            </w:tcBorders>
            <w:noWrap/>
            <w:tcMar>
              <w:top w:w="0" w:type="dxa"/>
              <w:left w:w="70" w:type="dxa"/>
              <w:bottom w:w="0" w:type="dxa"/>
              <w:right w:w="70" w:type="dxa"/>
            </w:tcMar>
            <w:vAlign w:val="bottom"/>
            <w:hideMark/>
          </w:tcPr>
          <w:p w14:paraId="5F603B0B"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Suomen Rauhanturvaajaliitto</w:t>
            </w:r>
          </w:p>
        </w:tc>
        <w:tc>
          <w:tcPr>
            <w:tcW w:w="1300" w:type="dxa"/>
            <w:tcBorders>
              <w:top w:val="single" w:sz="8" w:space="0" w:color="4472C4"/>
              <w:left w:val="nil"/>
              <w:bottom w:val="nil"/>
              <w:right w:val="nil"/>
            </w:tcBorders>
            <w:noWrap/>
            <w:tcMar>
              <w:top w:w="0" w:type="dxa"/>
              <w:left w:w="70" w:type="dxa"/>
              <w:bottom w:w="0" w:type="dxa"/>
              <w:right w:w="70" w:type="dxa"/>
            </w:tcMar>
            <w:vAlign w:val="bottom"/>
            <w:hideMark/>
          </w:tcPr>
          <w:p w14:paraId="09C5F9C7"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2</w:t>
            </w:r>
          </w:p>
        </w:tc>
        <w:tc>
          <w:tcPr>
            <w:tcW w:w="1300" w:type="dxa"/>
            <w:tcBorders>
              <w:top w:val="single" w:sz="8" w:space="0" w:color="4472C4"/>
              <w:left w:val="nil"/>
              <w:bottom w:val="nil"/>
              <w:right w:val="single" w:sz="8" w:space="0" w:color="4472C4"/>
            </w:tcBorders>
            <w:noWrap/>
            <w:tcMar>
              <w:top w:w="0" w:type="dxa"/>
              <w:left w:w="70" w:type="dxa"/>
              <w:bottom w:w="0" w:type="dxa"/>
              <w:right w:w="70" w:type="dxa"/>
            </w:tcMar>
            <w:vAlign w:val="bottom"/>
            <w:hideMark/>
          </w:tcPr>
          <w:p w14:paraId="0B0C0689"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w:t>
            </w:r>
          </w:p>
        </w:tc>
      </w:tr>
      <w:tr w:rsidR="005C3BB4" w14:paraId="413BB191" w14:textId="77777777" w:rsidTr="005C3BB4">
        <w:trPr>
          <w:trHeight w:val="255"/>
        </w:trPr>
        <w:tc>
          <w:tcPr>
            <w:tcW w:w="4730" w:type="dxa"/>
            <w:tcBorders>
              <w:top w:val="single" w:sz="8" w:space="0" w:color="4472C4"/>
              <w:left w:val="single" w:sz="8" w:space="0" w:color="4472C4"/>
              <w:bottom w:val="single" w:sz="8" w:space="0" w:color="4472C4"/>
              <w:right w:val="nil"/>
            </w:tcBorders>
            <w:noWrap/>
            <w:tcMar>
              <w:top w:w="0" w:type="dxa"/>
              <w:left w:w="70" w:type="dxa"/>
              <w:bottom w:w="0" w:type="dxa"/>
              <w:right w:w="70" w:type="dxa"/>
            </w:tcMar>
            <w:vAlign w:val="bottom"/>
            <w:hideMark/>
          </w:tcPr>
          <w:p w14:paraId="6D89D362" w14:textId="77777777" w:rsidR="005C3BB4" w:rsidRDefault="005C3BB4">
            <w:pPr>
              <w:rPr>
                <w:rFonts w:ascii="Verdana" w:hAnsi="Verdana"/>
                <w:color w:val="000000"/>
                <w:sz w:val="20"/>
                <w:szCs w:val="20"/>
                <w:lang w:eastAsia="fi-FI"/>
              </w:rPr>
            </w:pPr>
            <w:r>
              <w:rPr>
                <w:rFonts w:ascii="Verdana" w:hAnsi="Verdana"/>
                <w:color w:val="000000"/>
                <w:sz w:val="20"/>
                <w:szCs w:val="20"/>
                <w:lang w:eastAsia="fi-FI"/>
              </w:rPr>
              <w:t>Pelastakaa lapset</w:t>
            </w:r>
          </w:p>
        </w:tc>
        <w:tc>
          <w:tcPr>
            <w:tcW w:w="1300" w:type="dxa"/>
            <w:tcBorders>
              <w:top w:val="single" w:sz="8" w:space="0" w:color="4472C4"/>
              <w:left w:val="nil"/>
              <w:bottom w:val="single" w:sz="8" w:space="0" w:color="4472C4"/>
              <w:right w:val="nil"/>
            </w:tcBorders>
            <w:noWrap/>
            <w:tcMar>
              <w:top w:w="0" w:type="dxa"/>
              <w:left w:w="70" w:type="dxa"/>
              <w:bottom w:w="0" w:type="dxa"/>
              <w:right w:w="70" w:type="dxa"/>
            </w:tcMar>
            <w:vAlign w:val="bottom"/>
            <w:hideMark/>
          </w:tcPr>
          <w:p w14:paraId="5B7F3948"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w:t>
            </w:r>
          </w:p>
        </w:tc>
        <w:tc>
          <w:tcPr>
            <w:tcW w:w="1300" w:type="dxa"/>
            <w:tcBorders>
              <w:top w:val="single" w:sz="8" w:space="0" w:color="4472C4"/>
              <w:left w:val="nil"/>
              <w:bottom w:val="single" w:sz="8" w:space="0" w:color="4472C4"/>
              <w:right w:val="single" w:sz="8" w:space="0" w:color="4472C4"/>
            </w:tcBorders>
            <w:noWrap/>
            <w:tcMar>
              <w:top w:w="0" w:type="dxa"/>
              <w:left w:w="70" w:type="dxa"/>
              <w:bottom w:w="0" w:type="dxa"/>
              <w:right w:w="70" w:type="dxa"/>
            </w:tcMar>
            <w:vAlign w:val="bottom"/>
            <w:hideMark/>
          </w:tcPr>
          <w:p w14:paraId="3AC5618A" w14:textId="77777777" w:rsidR="005C3BB4" w:rsidRDefault="005C3BB4">
            <w:pPr>
              <w:jc w:val="right"/>
              <w:rPr>
                <w:rFonts w:ascii="Verdana" w:hAnsi="Verdana"/>
                <w:color w:val="000000"/>
                <w:sz w:val="20"/>
                <w:szCs w:val="20"/>
                <w:lang w:eastAsia="fi-FI"/>
              </w:rPr>
            </w:pPr>
            <w:r>
              <w:rPr>
                <w:rFonts w:ascii="Verdana" w:hAnsi="Verdana"/>
                <w:color w:val="000000"/>
                <w:sz w:val="20"/>
                <w:szCs w:val="20"/>
                <w:lang w:eastAsia="fi-FI"/>
              </w:rPr>
              <w:t>1</w:t>
            </w:r>
          </w:p>
        </w:tc>
      </w:tr>
      <w:tr w:rsidR="005C3BB4" w14:paraId="2D46687D" w14:textId="77777777" w:rsidTr="005C3BB4">
        <w:trPr>
          <w:trHeight w:val="255"/>
        </w:trPr>
        <w:tc>
          <w:tcPr>
            <w:tcW w:w="4730" w:type="dxa"/>
            <w:noWrap/>
            <w:tcMar>
              <w:top w:w="0" w:type="dxa"/>
              <w:left w:w="70" w:type="dxa"/>
              <w:bottom w:w="0" w:type="dxa"/>
              <w:right w:w="70" w:type="dxa"/>
            </w:tcMar>
            <w:vAlign w:val="bottom"/>
            <w:hideMark/>
          </w:tcPr>
          <w:p w14:paraId="2A17D7A0" w14:textId="1964DF6F" w:rsidR="005C3BB4" w:rsidRPr="00131D80" w:rsidRDefault="00131D80">
            <w:pPr>
              <w:rPr>
                <w:rFonts w:ascii="Verdana" w:hAnsi="Verdana"/>
                <w:b/>
                <w:bCs/>
                <w:color w:val="000000"/>
                <w:sz w:val="20"/>
                <w:szCs w:val="20"/>
                <w:lang w:eastAsia="fi-FI"/>
              </w:rPr>
            </w:pPr>
            <w:r>
              <w:rPr>
                <w:rFonts w:ascii="Verdana" w:hAnsi="Verdana"/>
                <w:b/>
                <w:bCs/>
                <w:color w:val="000000"/>
                <w:sz w:val="20"/>
                <w:szCs w:val="20"/>
                <w:lang w:eastAsia="fi-FI"/>
              </w:rPr>
              <w:t>Yhteensä</w:t>
            </w:r>
          </w:p>
        </w:tc>
        <w:tc>
          <w:tcPr>
            <w:tcW w:w="1300" w:type="dxa"/>
            <w:noWrap/>
            <w:tcMar>
              <w:top w:w="0" w:type="dxa"/>
              <w:left w:w="70" w:type="dxa"/>
              <w:bottom w:w="0" w:type="dxa"/>
              <w:right w:w="70" w:type="dxa"/>
            </w:tcMar>
            <w:vAlign w:val="bottom"/>
            <w:hideMark/>
          </w:tcPr>
          <w:p w14:paraId="6FB7E7B2" w14:textId="77777777" w:rsidR="005C3BB4" w:rsidRDefault="005C3BB4">
            <w:pPr>
              <w:jc w:val="right"/>
              <w:rPr>
                <w:rFonts w:ascii="Verdana" w:hAnsi="Verdana" w:cs="Calibri"/>
                <w:b/>
                <w:bCs/>
                <w:color w:val="000000"/>
                <w:sz w:val="20"/>
                <w:szCs w:val="20"/>
                <w:lang w:eastAsia="fi-FI"/>
              </w:rPr>
            </w:pPr>
            <w:r>
              <w:rPr>
                <w:rFonts w:ascii="Verdana" w:hAnsi="Verdana"/>
                <w:b/>
                <w:bCs/>
                <w:color w:val="000000"/>
                <w:sz w:val="20"/>
                <w:szCs w:val="20"/>
                <w:lang w:eastAsia="fi-FI"/>
              </w:rPr>
              <w:t>11355</w:t>
            </w:r>
          </w:p>
        </w:tc>
        <w:tc>
          <w:tcPr>
            <w:tcW w:w="1300" w:type="dxa"/>
            <w:noWrap/>
            <w:tcMar>
              <w:top w:w="0" w:type="dxa"/>
              <w:left w:w="70" w:type="dxa"/>
              <w:bottom w:w="0" w:type="dxa"/>
              <w:right w:w="70" w:type="dxa"/>
            </w:tcMar>
            <w:vAlign w:val="bottom"/>
            <w:hideMark/>
          </w:tcPr>
          <w:p w14:paraId="7D4077F2" w14:textId="77777777" w:rsidR="005C3BB4" w:rsidRDefault="005C3BB4">
            <w:pPr>
              <w:jc w:val="right"/>
              <w:rPr>
                <w:rFonts w:ascii="Verdana" w:hAnsi="Verdana"/>
                <w:b/>
                <w:bCs/>
                <w:color w:val="000000"/>
                <w:sz w:val="20"/>
                <w:szCs w:val="20"/>
                <w:lang w:eastAsia="fi-FI"/>
              </w:rPr>
            </w:pPr>
            <w:r>
              <w:rPr>
                <w:rFonts w:ascii="Verdana" w:hAnsi="Verdana"/>
                <w:b/>
                <w:bCs/>
                <w:color w:val="000000"/>
                <w:sz w:val="20"/>
                <w:szCs w:val="20"/>
                <w:lang w:eastAsia="fi-FI"/>
              </w:rPr>
              <w:t>1328</w:t>
            </w:r>
          </w:p>
        </w:tc>
      </w:tr>
    </w:tbl>
    <w:p w14:paraId="46DA6B52" w14:textId="77777777" w:rsidR="005C3BB4" w:rsidRDefault="005C3BB4" w:rsidP="00BA2145"/>
    <w:p w14:paraId="60FCBCDE" w14:textId="5AE682FD" w:rsidR="005C3BB4" w:rsidRDefault="005C3BB4" w:rsidP="00BA2145"/>
    <w:p w14:paraId="583C04CB" w14:textId="77777777" w:rsidR="005C3BB4" w:rsidRPr="00A5798B" w:rsidRDefault="005C3BB4" w:rsidP="00BA2145"/>
    <w:p w14:paraId="48330B49" w14:textId="5544B8B2" w:rsidR="00242F2E" w:rsidRPr="00960309" w:rsidRDefault="00242F2E" w:rsidP="00BA2145">
      <w:pPr>
        <w:rPr>
          <w:color w:val="FF0000"/>
        </w:rPr>
      </w:pPr>
    </w:p>
    <w:sectPr w:rsidR="00242F2E" w:rsidRPr="00960309" w:rsidSect="007F78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81"/>
  <w:drawingGridVerticalSpacing w:val="181"/>
  <w:doNotUseMarginsForDrawingGridOrigin/>
  <w:drawingGridHorizontalOrigin w:val="144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45"/>
    <w:rsid w:val="00131D80"/>
    <w:rsid w:val="00234DF6"/>
    <w:rsid w:val="00242512"/>
    <w:rsid w:val="00242F2E"/>
    <w:rsid w:val="002B511A"/>
    <w:rsid w:val="002E0B82"/>
    <w:rsid w:val="00345A31"/>
    <w:rsid w:val="004058B3"/>
    <w:rsid w:val="004332C6"/>
    <w:rsid w:val="00435F9F"/>
    <w:rsid w:val="00472A58"/>
    <w:rsid w:val="005572EB"/>
    <w:rsid w:val="005878E8"/>
    <w:rsid w:val="005C3BB4"/>
    <w:rsid w:val="005D4795"/>
    <w:rsid w:val="00616CBB"/>
    <w:rsid w:val="007C0621"/>
    <w:rsid w:val="007F78E9"/>
    <w:rsid w:val="00835CD2"/>
    <w:rsid w:val="00861268"/>
    <w:rsid w:val="008647F5"/>
    <w:rsid w:val="009163FD"/>
    <w:rsid w:val="00960309"/>
    <w:rsid w:val="009C48DE"/>
    <w:rsid w:val="00A5798B"/>
    <w:rsid w:val="00A74C84"/>
    <w:rsid w:val="00A848B6"/>
    <w:rsid w:val="00AB77EF"/>
    <w:rsid w:val="00BA2145"/>
    <w:rsid w:val="00C4002C"/>
    <w:rsid w:val="00E3261F"/>
    <w:rsid w:val="00E87592"/>
    <w:rsid w:val="00FA71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9094"/>
  <w15:chartTrackingRefBased/>
  <w15:docId w15:val="{C117B034-8B7D-448D-A81E-E84FC889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6936">
      <w:bodyDiv w:val="1"/>
      <w:marLeft w:val="0"/>
      <w:marRight w:val="0"/>
      <w:marTop w:val="0"/>
      <w:marBottom w:val="0"/>
      <w:divBdr>
        <w:top w:val="none" w:sz="0" w:space="0" w:color="auto"/>
        <w:left w:val="none" w:sz="0" w:space="0" w:color="auto"/>
        <w:bottom w:val="none" w:sz="0" w:space="0" w:color="auto"/>
        <w:right w:val="none" w:sz="0" w:space="0" w:color="auto"/>
      </w:divBdr>
    </w:div>
    <w:div w:id="1746222272">
      <w:bodyDiv w:val="1"/>
      <w:marLeft w:val="0"/>
      <w:marRight w:val="0"/>
      <w:marTop w:val="0"/>
      <w:marBottom w:val="0"/>
      <w:divBdr>
        <w:top w:val="none" w:sz="0" w:space="0" w:color="auto"/>
        <w:left w:val="none" w:sz="0" w:space="0" w:color="auto"/>
        <w:bottom w:val="none" w:sz="0" w:space="0" w:color="auto"/>
        <w:right w:val="none" w:sz="0" w:space="0" w:color="auto"/>
      </w:divBdr>
    </w:div>
    <w:div w:id="21425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fi-FI"/>
              <a:t>Vapepan auttamistehtävät maalla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fi-FI"/>
        </a:p>
      </c:txPr>
    </c:title>
    <c:autoTitleDeleted val="0"/>
    <c:plotArea>
      <c:layout/>
      <c:barChart>
        <c:barDir val="col"/>
        <c:grouping val="clustered"/>
        <c:varyColors val="0"/>
        <c:ser>
          <c:idx val="0"/>
          <c:order val="0"/>
          <c:tx>
            <c:strRef>
              <c:f>Sheet1!$B$1</c:f>
              <c:strCache>
                <c:ptCount val="1"/>
                <c:pt idx="0">
                  <c:v>Etsinnät</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2019</c:v>
                </c:pt>
                <c:pt idx="1">
                  <c:v>2020</c:v>
                </c:pt>
                <c:pt idx="2">
                  <c:v>2021</c:v>
                </c:pt>
              </c:numCache>
            </c:numRef>
          </c:cat>
          <c:val>
            <c:numRef>
              <c:f>Sheet1!$B$2:$B$4</c:f>
              <c:numCache>
                <c:formatCode>General</c:formatCode>
                <c:ptCount val="3"/>
                <c:pt idx="0">
                  <c:v>184</c:v>
                </c:pt>
                <c:pt idx="1">
                  <c:v>226</c:v>
                </c:pt>
                <c:pt idx="2">
                  <c:v>217</c:v>
                </c:pt>
              </c:numCache>
            </c:numRef>
          </c:val>
          <c:extLst>
            <c:ext xmlns:c16="http://schemas.microsoft.com/office/drawing/2014/chart" uri="{C3380CC4-5D6E-409C-BE32-E72D297353CC}">
              <c16:uniqueId val="{00000000-BA8A-48BB-B95A-CED597038F0C}"/>
            </c:ext>
          </c:extLst>
        </c:ser>
        <c:ser>
          <c:idx val="1"/>
          <c:order val="1"/>
          <c:tx>
            <c:strRef>
              <c:f>Sheet1!$C$1</c:f>
              <c:strCache>
                <c:ptCount val="1"/>
                <c:pt idx="0">
                  <c:v>Ensihuolto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2019</c:v>
                </c:pt>
                <c:pt idx="1">
                  <c:v>2020</c:v>
                </c:pt>
                <c:pt idx="2">
                  <c:v>2021</c:v>
                </c:pt>
              </c:numCache>
            </c:numRef>
          </c:cat>
          <c:val>
            <c:numRef>
              <c:f>Sheet1!$C$2:$C$4</c:f>
              <c:numCache>
                <c:formatCode>General</c:formatCode>
                <c:ptCount val="3"/>
                <c:pt idx="0">
                  <c:v>150</c:v>
                </c:pt>
                <c:pt idx="1">
                  <c:v>126</c:v>
                </c:pt>
                <c:pt idx="2">
                  <c:v>112</c:v>
                </c:pt>
              </c:numCache>
            </c:numRef>
          </c:val>
          <c:extLst>
            <c:ext xmlns:c16="http://schemas.microsoft.com/office/drawing/2014/chart" uri="{C3380CC4-5D6E-409C-BE32-E72D297353CC}">
              <c16:uniqueId val="{00000001-BA8A-48BB-B95A-CED597038F0C}"/>
            </c:ext>
          </c:extLst>
        </c:ser>
        <c:ser>
          <c:idx val="2"/>
          <c:order val="2"/>
          <c:tx>
            <c:strRef>
              <c:f>Sheet1!$D$1</c:f>
              <c:strCache>
                <c:ptCount val="1"/>
                <c:pt idx="0">
                  <c:v>Muu auttamistilanne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2019</c:v>
                </c:pt>
                <c:pt idx="1">
                  <c:v>2020</c:v>
                </c:pt>
                <c:pt idx="2">
                  <c:v>2021</c:v>
                </c:pt>
              </c:numCache>
            </c:numRef>
          </c:cat>
          <c:val>
            <c:numRef>
              <c:f>Sheet1!$D$2:$D$4</c:f>
              <c:numCache>
                <c:formatCode>General</c:formatCode>
                <c:ptCount val="3"/>
                <c:pt idx="0">
                  <c:v>18</c:v>
                </c:pt>
                <c:pt idx="1">
                  <c:v>58</c:v>
                </c:pt>
                <c:pt idx="2">
                  <c:v>31</c:v>
                </c:pt>
              </c:numCache>
            </c:numRef>
          </c:val>
          <c:extLst>
            <c:ext xmlns:c16="http://schemas.microsoft.com/office/drawing/2014/chart" uri="{C3380CC4-5D6E-409C-BE32-E72D297353CC}">
              <c16:uniqueId val="{00000002-BA8A-48BB-B95A-CED597038F0C}"/>
            </c:ext>
          </c:extLst>
        </c:ser>
        <c:dLbls>
          <c:dLblPos val="outEnd"/>
          <c:showLegendKey val="0"/>
          <c:showVal val="1"/>
          <c:showCatName val="0"/>
          <c:showSerName val="0"/>
          <c:showPercent val="0"/>
          <c:showBubbleSize val="0"/>
        </c:dLbls>
        <c:gapWidth val="444"/>
        <c:overlap val="-90"/>
        <c:axId val="905376768"/>
        <c:axId val="905369696"/>
      </c:barChart>
      <c:catAx>
        <c:axId val="905376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i-FI"/>
          </a:p>
        </c:txPr>
        <c:crossAx val="905369696"/>
        <c:crosses val="autoZero"/>
        <c:auto val="1"/>
        <c:lblAlgn val="ctr"/>
        <c:lblOffset val="100"/>
        <c:noMultiLvlLbl val="0"/>
      </c:catAx>
      <c:valAx>
        <c:axId val="905369696"/>
        <c:scaling>
          <c:orientation val="minMax"/>
        </c:scaling>
        <c:delete val="1"/>
        <c:axPos val="l"/>
        <c:numFmt formatCode="General" sourceLinked="1"/>
        <c:majorTickMark val="none"/>
        <c:minorTickMark val="none"/>
        <c:tickLblPos val="nextTo"/>
        <c:crossAx val="9053767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fi-FI"/>
              <a:t>Harjoitukset</a:t>
            </a:r>
            <a:r>
              <a:rPr lang="fi-FI" baseline="0"/>
              <a:t> ja koulutukset maalla</a:t>
            </a:r>
            <a:endParaRPr lang="fi-FI"/>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fi-FI"/>
        </a:p>
      </c:txPr>
    </c:title>
    <c:autoTitleDeleted val="0"/>
    <c:plotArea>
      <c:layout/>
      <c:barChart>
        <c:barDir val="col"/>
        <c:grouping val="stacked"/>
        <c:varyColors val="0"/>
        <c:ser>
          <c:idx val="0"/>
          <c:order val="0"/>
          <c:tx>
            <c:strRef>
              <c:f>Sheet1!$B$1</c:f>
              <c:strCache>
                <c:ptCount val="1"/>
                <c:pt idx="0">
                  <c:v>Harjoitukset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2019</c:v>
                </c:pt>
                <c:pt idx="1">
                  <c:v>2020</c:v>
                </c:pt>
                <c:pt idx="2">
                  <c:v>2021</c:v>
                </c:pt>
              </c:numCache>
            </c:numRef>
          </c:cat>
          <c:val>
            <c:numRef>
              <c:f>Sheet1!$B$2:$B$4</c:f>
              <c:numCache>
                <c:formatCode>General</c:formatCode>
                <c:ptCount val="3"/>
                <c:pt idx="0">
                  <c:v>102</c:v>
                </c:pt>
                <c:pt idx="1">
                  <c:v>41</c:v>
                </c:pt>
                <c:pt idx="2">
                  <c:v>65</c:v>
                </c:pt>
              </c:numCache>
            </c:numRef>
          </c:val>
          <c:extLst>
            <c:ext xmlns:c16="http://schemas.microsoft.com/office/drawing/2014/chart" uri="{C3380CC4-5D6E-409C-BE32-E72D297353CC}">
              <c16:uniqueId val="{00000000-4742-45AD-AB9F-361D03A767C7}"/>
            </c:ext>
          </c:extLst>
        </c:ser>
        <c:ser>
          <c:idx val="1"/>
          <c:order val="1"/>
          <c:tx>
            <c:strRef>
              <c:f>Sheet1!$C$1</c:f>
              <c:strCache>
                <c:ptCount val="1"/>
                <c:pt idx="0">
                  <c:v>Koulutukset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2019</c:v>
                </c:pt>
                <c:pt idx="1">
                  <c:v>2020</c:v>
                </c:pt>
                <c:pt idx="2">
                  <c:v>2021</c:v>
                </c:pt>
              </c:numCache>
            </c:numRef>
          </c:cat>
          <c:val>
            <c:numRef>
              <c:f>Sheet1!$C$2:$C$4</c:f>
              <c:numCache>
                <c:formatCode>General</c:formatCode>
                <c:ptCount val="3"/>
                <c:pt idx="0">
                  <c:v>328</c:v>
                </c:pt>
                <c:pt idx="1">
                  <c:v>238</c:v>
                </c:pt>
                <c:pt idx="2">
                  <c:v>320</c:v>
                </c:pt>
              </c:numCache>
            </c:numRef>
          </c:val>
          <c:extLst>
            <c:ext xmlns:c16="http://schemas.microsoft.com/office/drawing/2014/chart" uri="{C3380CC4-5D6E-409C-BE32-E72D297353CC}">
              <c16:uniqueId val="{00000001-4742-45AD-AB9F-361D03A767C7}"/>
            </c:ext>
          </c:extLst>
        </c:ser>
        <c:dLbls>
          <c:dLblPos val="ctr"/>
          <c:showLegendKey val="0"/>
          <c:showVal val="1"/>
          <c:showCatName val="0"/>
          <c:showSerName val="0"/>
          <c:showPercent val="0"/>
          <c:showBubbleSize val="0"/>
        </c:dLbls>
        <c:gapWidth val="79"/>
        <c:overlap val="100"/>
        <c:axId val="905367616"/>
        <c:axId val="905380928"/>
      </c:barChart>
      <c:catAx>
        <c:axId val="905367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i-FI"/>
          </a:p>
        </c:txPr>
        <c:crossAx val="905380928"/>
        <c:crosses val="autoZero"/>
        <c:auto val="1"/>
        <c:lblAlgn val="ctr"/>
        <c:lblOffset val="100"/>
        <c:noMultiLvlLbl val="0"/>
      </c:catAx>
      <c:valAx>
        <c:axId val="905380928"/>
        <c:scaling>
          <c:orientation val="minMax"/>
        </c:scaling>
        <c:delete val="1"/>
        <c:axPos val="l"/>
        <c:numFmt formatCode="General" sourceLinked="1"/>
        <c:majorTickMark val="none"/>
        <c:minorTickMark val="none"/>
        <c:tickLblPos val="nextTo"/>
        <c:crossAx val="905367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BE4C7-0A94-40E5-95C4-03B5E63B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3318</TotalTime>
  <Pages>4</Pages>
  <Words>625</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Suomen Punainen Risti</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Suomalainen Aku</dc:creator>
  <cp:keywords/>
  <dc:description/>
  <cp:lastModifiedBy>Suomalainen Aku</cp:lastModifiedBy>
  <cp:revision>16</cp:revision>
  <dcterms:created xsi:type="dcterms:W3CDTF">2022-05-11T08:54:00Z</dcterms:created>
  <dcterms:modified xsi:type="dcterms:W3CDTF">2022-06-22T07:06:00Z</dcterms:modified>
</cp:coreProperties>
</file>